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54867" w:rsidRDefault="00012D94" w:rsidP="00854867">
      <w:pPr>
        <w:jc w:val="both"/>
        <w:rPr>
          <w:rFonts w:ascii="Times New Roman" w:hAnsi="Times New Roman" w:cs="Times New Roman"/>
          <w:sz w:val="28"/>
          <w:szCs w:val="28"/>
        </w:rPr>
      </w:pPr>
      <w:r w:rsidRPr="00854867">
        <w:rPr>
          <w:rFonts w:ascii="Times New Roman" w:hAnsi="Times New Roman" w:cs="Times New Roman"/>
          <w:sz w:val="28"/>
          <w:szCs w:val="28"/>
        </w:rPr>
        <w:t>НАУЧНЫЕ ПУБЛИКАЦИИ ПУЗЫРЕВОЙ ЕВГЕНИИ НИКОЛАЕВНЫ</w:t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Г.К.,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Мажорина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Шулаков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Засемкова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О.В., Шахназаров Б.А.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учебник / (5-е издание, переработанное и дополненное) Москва, 2023.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ПРАВО УСТОЙЧИВОГО РАЗВИТИЯ И ESG-СТАНДАРТЫ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В.Б., Алексеева Д.Г., Алимова Я.О., Андриянов Д.В.,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Анисифорова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Е.А., Ануфриева Л.П.,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Л.Л., Батырь В.А.,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Васякина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Ведышева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Н.О., Викторова Н.Н., Воронина Н.П., Гуляева Т.К.,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Гуттаковский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Я.А.,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Добробаба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М.Б., Егорова М.А.,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Енькова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Е.Е., Ершова И.В., Жаворонкова Н.Г. и др.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Москва, 2022.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И ВСЕРОССИЙСКИЕ КОНКУРСЫ КАК НОВЫЙ ТРЕНД СОВРЕМЕННОГО ЮРИДИЧЕСКОГО ОБРАЗОВАНИЯ: ВОПРОСЫ ТЕОРИИ И ПРАКТИКИ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Алимова Я.О.,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Бибиков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С.Е., Верещагина А.Р., Головина Н.М.,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Засемкова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О.Ф., Колмаков С.Ю., Макаренко Н.Н., Михеева А.Ю., Пузырева Е.Н.,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Савищев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П.В.,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Слепак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Москва, 2022.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Г.К.,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Мажорина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Шулаков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Засемкова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О.Ф., Алимова Я.О., Викторова Н.Н., Терентьева Л.В., Скачков Н.Г., Кутузов И.М., Пузырева Е.Н., Пирцхалава Х.Д., Савенко О.Е., Соболев И.Д.,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О.В., Шахназаров Б.А.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учебник / (5-е издание, переработанное и дополненное) Москва, 2022.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ЦЕПОЧКИ ПОСТАВОК И ПРИНЦИПЫ УСТОЙЧИВОГО РАЗВИТИЯ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Пузырева Е.Н.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LegalTech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: научные решения для профессиональной юридической деятельности. Сборник докладов IX Московского юридического форума. В 4-х частях. Москва, 2022. С. 287-292.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БАНКРОТСТВА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Алимова Я.О., Викторова Н.Н., Галкин С.С.,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Енькова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Е.Е., Ершов Д.В., Ершова И.В.,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Кобенья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Р.Р.,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Мифтахутдинов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Р.Т., Присяжнюк Я.М., Пузырева Е.Н., Свит Ю.П., Суворов Е.Д., 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Сушкова О.В., Тарасенко О.А.,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Шишмарева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Шнигер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Д.О., Щербакова М.А.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Учебник / Сер. Серия учебников МГЮА. Москва, 2021.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7.О </w:t>
            </w:r>
            <w:r w:rsidRPr="0085486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ПРЕДСТАВЛЕНИИ ДОКУМЕНТОВ ПО АККРЕДИТИВУ В ЦИФРОВОЙ ФОРМЕ</w:t>
            </w:r>
          </w:p>
          <w:p w:rsidR="00854867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Пузырева Е.Н.</w:t>
            </w:r>
          </w:p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Вестник Университета имени О.Е.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(МГЮА). 2021. № 3 (79). С. 94-101.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УНИФИКАЦИЯ </w:t>
            </w: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ГАРМОНИЗАЦИЯ В МЕЖДУНАРОДНОМ ЧАСТНОМ ПРАВЕ. ВОПРОСЫ ТЕОРИИ И ПРАКТИКИ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Алимова Я.О., Викторова Н.Н., Дмитриева Г.К.,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Засемкова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О.Ф., Кутузов И.М., Лемешева И.Ю.,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Луткова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О.В.,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Мажорина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М.В., Пирцхалава Х.Д., Приходько М.А., Пузырева Е.Н., Савенко О.Е., Ск</w:t>
            </w:r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ачков Н.Г., Соболев И.Д., Терентьева Л.В., Шахназаров Б.А.,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Шулаков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А.А.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Москва, 2016.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БАНКРОТСТВО ХОЗЯЙСТВУЮЩИХ СУБЪЕКТОВ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Ершова И.В.,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Енькова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Е.Е., Алимова Я.О., Викторова Н.Н., Галкин С.С.,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Мифтахутдинов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Р.Т., Мохов А.А., Пузырева Е.Н., Свит Ю.П.,</w:t>
            </w:r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Тарасенко О.А., </w:t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Шишмарева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Т.П., Щербакова М.А.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учебник для бакалавров / Москва, 2016.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 ТРАНСГРАНИЧНОГО ОБРАЩЕНИЯ ЦЕННЫХ БУМАГ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В сборнике: Судебная реформа в России: прошлое, настоящее, будущее (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Кутафинские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чтения). Сборник докла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дов VII Международной научно-практической конференции. 2015. С. 49-54.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РЕГУЛИРОВАНИЕ ТРАНСГРАНИЧНОГО ОБРАЩЕНИЯ ОБЛИГАЦИЙ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Пузырева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Вестник Университета имени О.Е.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 (МГЮА). 2015. № 2 (6). С. 100-103.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</w:t>
            </w: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РЕГУЛИРОВАНИЕ ДОГОВОРА МЕЖДУНАРОДНОГО ФАКТОРИНГА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Бизнес в законе. Экономико-юридический журнал. 2014. № 2. С. 140-143.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LEX MERCATORIA КАК ИСТОЧНИК РЕГУЛИРОВАНИЯ ТРАНСГРАНИЧНОГО ОБРАЩЕНИЯ ЦЕННЫХ БУМАГ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 в законе. Эконо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мико-юридический журнал. 2014. № 5. С. 145-148.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РЕГУЛИРОВАНИЕ ТРАНСГРАНИЧНОГО ОБРАЩЕНИЯ ЦЕННЫХ БУМАГ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автореферат диссертации на соискание ученой степени кандидата юридических наук / Московская государственная юридическая академ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ия им. О.Е.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. Москва, 2012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854867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2D94"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РЕГУЛИРОВАНИЕ ТРАНСГРАНИЧНОГО ОБРАЩЕНИЯ ЦЕННЫХ БУМАГ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диссертация на соискание ученой степени кандидата юридических наук / 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государственная юридическая академия им. О.Е. </w:t>
            </w:r>
            <w:proofErr w:type="spellStart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. Москва, 2012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867" w:rsidRPr="008548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ПОДХОДЫ К КОЛЛИЗИОННОМУ РЕГУЛИРОВАНИЮ ТРАНСГРАНИЧНОГО ОБОРОТА АКЦИЙ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Пробелы в российском законодательстве. 2012. № 1. С. 70-74.</w:t>
            </w:r>
          </w:p>
        </w:tc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000" w:rsidRPr="00854867" w:rsidTr="00854867">
        <w:trPr>
          <w:tblCellSpacing w:w="0" w:type="dxa"/>
        </w:trPr>
        <w:tc>
          <w:tcPr>
            <w:tcW w:w="45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867" w:rsidRPr="00854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0000" w:rsidRPr="00854867" w:rsidRDefault="00012D94" w:rsidP="0085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 КВ</w:t>
            </w:r>
            <w:r w:rsidRPr="0085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АЛИФИКАЦИИ ПОНЯТИЯ "ЦЕННАЯ БУМАГА"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Пузырёва</w:t>
            </w:r>
            <w:proofErr w:type="spellEnd"/>
            <w:r w:rsidRPr="008548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Е.Н.</w:t>
            </w:r>
            <w:r w:rsidRPr="00854867">
              <w:rPr>
                <w:rFonts w:ascii="Times New Roman" w:hAnsi="Times New Roman" w:cs="Times New Roman"/>
                <w:sz w:val="28"/>
                <w:szCs w:val="28"/>
              </w:rPr>
              <w:br/>
              <w:t>Бизнес в законе. 2012. № 3. С. 68-70.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00000" w:rsidRPr="00854867" w:rsidRDefault="00012D94" w:rsidP="00854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94" w:rsidRPr="00854867" w:rsidRDefault="00012D94" w:rsidP="00854867">
      <w:pPr>
        <w:jc w:val="both"/>
        <w:rPr>
          <w:rFonts w:ascii="Times New Roman" w:hAnsi="Times New Roman" w:cs="Times New Roman"/>
          <w:sz w:val="28"/>
          <w:szCs w:val="28"/>
        </w:rPr>
      </w:pPr>
      <w:r w:rsidRPr="00854867">
        <w:rPr>
          <w:rFonts w:ascii="Times New Roman" w:hAnsi="Times New Roman" w:cs="Times New Roman"/>
          <w:sz w:val="28"/>
          <w:szCs w:val="28"/>
        </w:rPr>
        <w:t> </w:t>
      </w:r>
    </w:p>
    <w:sectPr w:rsidR="00012D94" w:rsidRPr="0085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4867"/>
    <w:rsid w:val="00012D94"/>
    <w:rsid w:val="008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F273-7280-4B93-954B-042B321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2023-08-28T21:24:00Z</dcterms:created>
  <dcterms:modified xsi:type="dcterms:W3CDTF">2023-08-28T21:24:00Z</dcterms:modified>
</cp:coreProperties>
</file>